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AF" w:rsidRPr="00C3252F" w:rsidRDefault="00C3252F" w:rsidP="00C3252F">
      <w:pPr>
        <w:pStyle w:val="a3"/>
        <w:rPr>
          <w:lang w:val="es-ES"/>
        </w:rPr>
      </w:pPr>
      <w:r w:rsidRPr="00DA067E">
        <w:rPr>
          <w:b/>
          <w:lang w:val="es-ES"/>
        </w:rPr>
        <w:t>MADERA CONTRACHAPADA</w:t>
      </w:r>
      <w:r>
        <w:rPr>
          <w:b/>
          <w:lang w:val="es-ES"/>
        </w:rPr>
        <w:t xml:space="preserve"> DE ABEDUL – CLASE B</w:t>
      </w:r>
    </w:p>
    <w:p w:rsidR="00C3252F" w:rsidRDefault="00C3252F" w:rsidP="00C3252F">
      <w:pPr>
        <w:pStyle w:val="a3"/>
        <w:rPr>
          <w:lang w:val="es-ES"/>
        </w:rPr>
      </w:pPr>
    </w:p>
    <w:p w:rsidR="00C3252F" w:rsidRPr="00C3252F" w:rsidRDefault="00C3252F" w:rsidP="00C3252F">
      <w:pPr>
        <w:pStyle w:val="a3"/>
        <w:rPr>
          <w:b/>
          <w:lang w:val="es-ES"/>
        </w:rPr>
      </w:pPr>
      <w:r w:rsidRPr="00C3252F">
        <w:rPr>
          <w:b/>
          <w:lang w:val="es-ES"/>
        </w:rPr>
        <w:t xml:space="preserve">La clase B es la madera contrachapada </w:t>
      </w:r>
      <w:r w:rsidR="00D02CB1">
        <w:rPr>
          <w:b/>
          <w:lang w:val="es-ES"/>
        </w:rPr>
        <w:t xml:space="preserve">destinada </w:t>
      </w:r>
      <w:r w:rsidRPr="00C3252F">
        <w:rPr>
          <w:b/>
          <w:lang w:val="es-ES"/>
        </w:rPr>
        <w:t>para el recubrimiento con los materiales trabsparentes y semitransparentes, el barnizado y</w:t>
      </w:r>
      <w:bookmarkStart w:id="0" w:name="_GoBack"/>
      <w:bookmarkEnd w:id="0"/>
      <w:r w:rsidRPr="00C3252F">
        <w:rPr>
          <w:b/>
          <w:lang w:val="es-ES"/>
        </w:rPr>
        <w:t xml:space="preserve"> la entonación.</w:t>
      </w:r>
    </w:p>
    <w:p w:rsidR="00C3252F" w:rsidRDefault="00C3252F" w:rsidP="00C3252F">
      <w:pPr>
        <w:pStyle w:val="a3"/>
        <w:rPr>
          <w:lang w:val="es-ES"/>
        </w:rPr>
      </w:pPr>
    </w:p>
    <w:p w:rsidR="00C3252F" w:rsidRPr="000B4547" w:rsidRDefault="00C3252F" w:rsidP="00C3252F">
      <w:pPr>
        <w:pStyle w:val="a3"/>
        <w:rPr>
          <w:b/>
          <w:lang w:val="es-ES"/>
        </w:rPr>
      </w:pPr>
      <w:r w:rsidRPr="000B4547">
        <w:rPr>
          <w:b/>
          <w:lang w:val="es-ES"/>
        </w:rPr>
        <w:t>DIMENSIONES ESTÁNDARES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>1250x2500 mm, 2500x1250 mm, 1220x2440 mm, 2440x1220 mm.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>Espesores estándares, mm: 6.5; 9; 12; 15; 18; 21; 24; 27; 30; 35; 40.</w:t>
      </w:r>
    </w:p>
    <w:p w:rsidR="00C3252F" w:rsidRDefault="00C3252F" w:rsidP="00C3252F">
      <w:pPr>
        <w:pStyle w:val="a3"/>
        <w:rPr>
          <w:lang w:val="es-E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Espesor nominal, mm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Número de capas de la chapa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Espesor medio, mm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Espesor mínimo, mm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Espesor máximo, mm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6.5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6.4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9.1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6.9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8.8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8.8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9.5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11.8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11.5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12.5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14.8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14.3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15.3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17.6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17.1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18.1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20.4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20.0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21.0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23.2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22.9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24.0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26.2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25.2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27.0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29.0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28.1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30.0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34.0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33.5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35.5</w:t>
            </w:r>
          </w:p>
        </w:tc>
      </w:tr>
      <w:tr w:rsidR="00C3252F" w:rsidTr="00E82F83"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40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39.5</w:t>
            </w:r>
          </w:p>
        </w:tc>
        <w:tc>
          <w:tcPr>
            <w:tcW w:w="1914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38.8</w:t>
            </w:r>
          </w:p>
        </w:tc>
        <w:tc>
          <w:tcPr>
            <w:tcW w:w="1915" w:type="dxa"/>
          </w:tcPr>
          <w:p w:rsidR="00C3252F" w:rsidRDefault="00C3252F" w:rsidP="00E82F83">
            <w:pPr>
              <w:pStyle w:val="a3"/>
              <w:jc w:val="center"/>
              <w:rPr>
                <w:lang w:val="es-ES"/>
              </w:rPr>
            </w:pPr>
            <w:r>
              <w:rPr>
                <w:lang w:val="es-ES"/>
              </w:rPr>
              <w:t>41.2</w:t>
            </w:r>
          </w:p>
        </w:tc>
      </w:tr>
    </w:tbl>
    <w:p w:rsidR="00C3252F" w:rsidRDefault="00C3252F" w:rsidP="00C3252F">
      <w:pPr>
        <w:pStyle w:val="a3"/>
        <w:rPr>
          <w:lang w:val="es-ES"/>
        </w:rPr>
      </w:pP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 xml:space="preserve">Las tolerancias según medidas lineales corresponden al estándar EN 315. Las tolerancias límite según longitud y anchura son de </w:t>
      </w:r>
      <w:r>
        <w:rPr>
          <w:rFonts w:cstheme="minorHAnsi"/>
          <w:lang w:val="es-ES"/>
        </w:rPr>
        <w:t>±</w:t>
      </w:r>
      <w:r>
        <w:rPr>
          <w:lang w:val="es-ES"/>
        </w:rPr>
        <w:t>3.5 mm.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 xml:space="preserve">Por el pedido de compradores es posible la producción de madera contrachapada de las </w:t>
      </w:r>
      <w:r w:rsidR="00F441E6">
        <w:rPr>
          <w:lang w:val="es-ES"/>
        </w:rPr>
        <w:t>dimensiones de corte</w:t>
      </w:r>
      <w:r>
        <w:rPr>
          <w:lang w:val="es-ES"/>
        </w:rPr>
        <w:t>.</w:t>
      </w:r>
    </w:p>
    <w:p w:rsidR="00C3252F" w:rsidRDefault="00C3252F" w:rsidP="00C3252F">
      <w:pPr>
        <w:pStyle w:val="a3"/>
        <w:rPr>
          <w:lang w:val="es-ES"/>
        </w:rPr>
      </w:pPr>
    </w:p>
    <w:p w:rsidR="00C3252F" w:rsidRPr="00DA067E" w:rsidRDefault="00C3252F" w:rsidP="00C3252F">
      <w:pPr>
        <w:pStyle w:val="a3"/>
        <w:rPr>
          <w:b/>
          <w:lang w:val="es-ES"/>
        </w:rPr>
      </w:pPr>
      <w:r w:rsidRPr="00DA067E">
        <w:rPr>
          <w:b/>
          <w:lang w:val="es-ES"/>
        </w:rPr>
        <w:t>DESCRIPCIÓN GENERAL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 xml:space="preserve">La </w:t>
      </w:r>
      <w:r w:rsidRPr="009B666D">
        <w:rPr>
          <w:lang w:val="es-ES"/>
        </w:rPr>
        <w:t>madera contrachapada</w:t>
      </w:r>
      <w:r>
        <w:rPr>
          <w:lang w:val="es-ES"/>
        </w:rPr>
        <w:t xml:space="preserve"> laminada es una hoja plana que consiste en tres y más capas de chapas, coladas entre sí y cubiertas con la película para laminar. Las capas contiguas de chapas tienen la dirección de las fibras</w:t>
      </w:r>
      <w:r w:rsidRPr="007E2738">
        <w:rPr>
          <w:lang w:val="es-ES"/>
        </w:rPr>
        <w:t xml:space="preserve"> </w:t>
      </w:r>
      <w:r>
        <w:rPr>
          <w:lang w:val="es-ES"/>
        </w:rPr>
        <w:t xml:space="preserve">mutuamente perpendicular, lo que garantiza la solidez tanto en la dirección longitudinal como transversal, la estabilidad de la forma, y distingue </w:t>
      </w:r>
      <w:r w:rsidRPr="00346D44">
        <w:rPr>
          <w:lang w:val="es-ES"/>
        </w:rPr>
        <w:t>ventajosamente</w:t>
      </w:r>
      <w:r>
        <w:rPr>
          <w:lang w:val="es-ES"/>
        </w:rPr>
        <w:t xml:space="preserve"> la madera contrachapada de </w:t>
      </w:r>
      <w:r w:rsidRPr="00346D44">
        <w:rPr>
          <w:lang w:val="es-ES"/>
        </w:rPr>
        <w:t>otros artículos de madera.</w:t>
      </w:r>
    </w:p>
    <w:p w:rsidR="00C3252F" w:rsidRDefault="00C3252F" w:rsidP="00C3252F">
      <w:pPr>
        <w:pStyle w:val="a3"/>
        <w:rPr>
          <w:lang w:val="es-ES"/>
        </w:rPr>
      </w:pPr>
    </w:p>
    <w:p w:rsidR="00C3252F" w:rsidRPr="00AA4172" w:rsidRDefault="00C3252F" w:rsidP="00C3252F">
      <w:pPr>
        <w:pStyle w:val="a3"/>
        <w:rPr>
          <w:b/>
          <w:lang w:val="es-ES"/>
        </w:rPr>
      </w:pPr>
      <w:r w:rsidRPr="00AA4172">
        <w:rPr>
          <w:b/>
          <w:lang w:val="es-ES"/>
        </w:rPr>
        <w:t>COLADA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 xml:space="preserve">Durante la producción de madera contrachapada se usan las colas de fenol y </w:t>
      </w:r>
      <w:r w:rsidRPr="00422CB3">
        <w:rPr>
          <w:lang w:val="es-ES"/>
        </w:rPr>
        <w:t>formaldehido</w:t>
      </w:r>
      <w:r>
        <w:rPr>
          <w:lang w:val="es-ES"/>
        </w:rPr>
        <w:t xml:space="preserve"> o las colas de carbamida y </w:t>
      </w:r>
      <w:r w:rsidRPr="00B73592">
        <w:rPr>
          <w:lang w:val="es-ES"/>
        </w:rPr>
        <w:t>formaldehido</w:t>
      </w:r>
      <w:r>
        <w:rPr>
          <w:lang w:val="es-ES"/>
        </w:rPr>
        <w:t>, que corresponden a los estándares EN 13986 y EN 314-2.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 xml:space="preserve">Clase de emisión de </w:t>
      </w:r>
      <w:r w:rsidRPr="00B73592">
        <w:rPr>
          <w:lang w:val="es-ES"/>
        </w:rPr>
        <w:t>formaldehido</w:t>
      </w:r>
      <w:r>
        <w:rPr>
          <w:lang w:val="es-ES"/>
        </w:rPr>
        <w:t xml:space="preserve"> – E1.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>Las propiedades físicas y mecánicas de la madera contrachapada corresponden al estándar EN 13986.</w:t>
      </w:r>
    </w:p>
    <w:p w:rsidR="00C3252F" w:rsidRDefault="00C3252F" w:rsidP="00C3252F">
      <w:pPr>
        <w:pStyle w:val="a3"/>
        <w:rPr>
          <w:lang w:val="es-ES"/>
        </w:rPr>
      </w:pPr>
    </w:p>
    <w:p w:rsidR="00C3252F" w:rsidRPr="00B73592" w:rsidRDefault="00C3252F" w:rsidP="00C3252F">
      <w:pPr>
        <w:pStyle w:val="a3"/>
        <w:rPr>
          <w:b/>
          <w:lang w:val="es-ES"/>
        </w:rPr>
      </w:pPr>
      <w:r>
        <w:rPr>
          <w:b/>
          <w:lang w:val="es-ES"/>
        </w:rPr>
        <w:t>VENTAJAS</w:t>
      </w:r>
    </w:p>
    <w:p w:rsidR="00C3252F" w:rsidRDefault="00C3252F" w:rsidP="00C3252F">
      <w:pPr>
        <w:pStyle w:val="a3"/>
        <w:rPr>
          <w:lang w:val="es-ES"/>
        </w:rPr>
      </w:pPr>
      <w:r>
        <w:rPr>
          <w:lang w:val="es-ES"/>
        </w:rPr>
        <w:t xml:space="preserve">La madera contrachapada es un material resistente pero ligero, </w:t>
      </w:r>
      <w:r>
        <w:rPr>
          <w:lang w:val="es-ES"/>
        </w:rPr>
        <w:t xml:space="preserve">que se trata bien, incluso se pinta, se barniza, se lamina con las películas, los plásticos, las chapas de las especies valiosas. </w:t>
      </w:r>
      <w:r>
        <w:rPr>
          <w:lang w:val="es-ES"/>
        </w:rPr>
        <w:t>La madera contrachapada</w:t>
      </w:r>
      <w:r>
        <w:rPr>
          <w:lang w:val="es-ES"/>
        </w:rPr>
        <w:t xml:space="preserve"> se corta fácilmente, se trata con las máquinas, incluso con las de control numérico.</w:t>
      </w:r>
    </w:p>
    <w:sectPr w:rsidR="00C3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C"/>
    <w:rsid w:val="00497AAF"/>
    <w:rsid w:val="006846CD"/>
    <w:rsid w:val="007B748C"/>
    <w:rsid w:val="00C3252F"/>
    <w:rsid w:val="00D02CB1"/>
    <w:rsid w:val="00F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1775</Characters>
  <Application>Microsoft Office Word</Application>
  <DocSecurity>0</DocSecurity>
  <Lines>40</Lines>
  <Paragraphs>30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2017-12-04T14:08:00Z</dcterms:created>
  <dcterms:modified xsi:type="dcterms:W3CDTF">2017-12-04T14:42:00Z</dcterms:modified>
</cp:coreProperties>
</file>